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906"/>
        <w:tblW w:w="155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025"/>
        <w:gridCol w:w="495"/>
        <w:gridCol w:w="213"/>
        <w:gridCol w:w="367"/>
        <w:gridCol w:w="725"/>
        <w:gridCol w:w="580"/>
        <w:gridCol w:w="738"/>
        <w:gridCol w:w="109"/>
        <w:gridCol w:w="642"/>
        <w:gridCol w:w="1137"/>
        <w:gridCol w:w="947"/>
        <w:gridCol w:w="169"/>
        <w:gridCol w:w="398"/>
        <w:gridCol w:w="450"/>
        <w:gridCol w:w="826"/>
        <w:gridCol w:w="352"/>
        <w:gridCol w:w="357"/>
        <w:gridCol w:w="306"/>
        <w:gridCol w:w="402"/>
        <w:gridCol w:w="198"/>
        <w:gridCol w:w="600"/>
        <w:gridCol w:w="764"/>
        <w:gridCol w:w="1415"/>
        <w:gridCol w:w="123"/>
        <w:gridCol w:w="10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黑体" w:hAnsi="黑体" w:eastAsia="黑体" w:cs="宋体"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36"/>
                <w:szCs w:val="36"/>
              </w:rPr>
              <w:t>附件</w:t>
            </w:r>
            <w:r>
              <w:rPr>
                <w:rFonts w:hint="eastAsia" w:ascii="黑体" w:hAnsi="黑体" w:eastAsia="黑体" w:cs="宋体"/>
                <w:color w:val="auto"/>
                <w:sz w:val="36"/>
                <w:szCs w:val="36"/>
                <w:lang w:val="en-US" w:eastAsia="zh-CN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559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</w:rPr>
              <w:t>2019年三明市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eastAsia="zh-CN"/>
              </w:rPr>
              <w:t>水利局所属事业单位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</w:rPr>
              <w:t>公开招聘紧缺急需专业工作人员岗位信息表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主管部门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招聘单位</w:t>
            </w:r>
          </w:p>
        </w:tc>
        <w:tc>
          <w:tcPr>
            <w:tcW w:w="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经费方式</w:t>
            </w:r>
          </w:p>
        </w:tc>
        <w:tc>
          <w:tcPr>
            <w:tcW w:w="10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招聘岗位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招聘人数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免笔试类型</w:t>
            </w:r>
          </w:p>
        </w:tc>
        <w:tc>
          <w:tcPr>
            <w:tcW w:w="907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岗位资格条件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最高年龄</w:t>
            </w:r>
          </w:p>
        </w:tc>
        <w:tc>
          <w:tcPr>
            <w:tcW w:w="11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学历及类别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9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招聘对象</w:t>
            </w:r>
          </w:p>
        </w:tc>
        <w:tc>
          <w:tcPr>
            <w:tcW w:w="7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其他条件</w:t>
            </w:r>
          </w:p>
        </w:tc>
        <w:tc>
          <w:tcPr>
            <w:tcW w:w="14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招聘单位审核人姓名、联系电话</w:t>
            </w: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全日制普通教育学历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三明市水利工程站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水利类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联系人：罗骁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联系电话：5171188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常驻工地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三明市水利工程质量技术站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紧缺急需专业免笔试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水利类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应往届毕业生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联系人：罗骁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联系电话：5171188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常驻工地、条件艰苦。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81447"/>
    <w:rsid w:val="71A8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2019-09-20T07:51:00Z</dcterms:created>
  <dc:creator>⚽➕</dc:creator>
  <cp:lastModifiedBy>⚽➕</cp:lastModifiedBy>
  <dcterms:modified xsi:type="dcterms:W3CDTF">2019-09-20T07:51:59Z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